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Taylor &amp; Francis (Royaume-Uni)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https://ou-publier.cirad.fr/node/3181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http://www.tandf.co.uk/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https://www.routledge.com/our-customers/authors/publishing-guidelines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Taylor &amp; Francis Group publishes books for all levels of academic study and professional development, across a wide range of subjects and disciplines including Humanities, Social Science, Behavioral Science, Law, and the Built Environment as well as Natural Science, Technology and Medicine.</w:t>
      </w:r>
      <w:br/>
      <w:r>
        <w:rPr/>
        <w:t xml:space="preserve">We publish Social Science and Humanities books under the Routledge imprint and Science, Technology and Medical books are published by CRC Press. Taylor and Francis Group comprises the imprints Taylor &amp; Francis, Routledge, CRC Press, and associated brands that combine to form one of the world's leading academic publishers.</w:t>
      </w:r>
      <w:br/>
      <w:r>
        <w:rPr/>
        <w:t xml:space="preserve">Taylor &amp; Francis publishes around 7000-8000 books a year (including over 500 open access books and 250 open access chapters) and we have a backlist in excess of 200,000 specialist titles.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Taylor and Francis</w:t>
      </w:r>
      <w:br/>
      <w:r>
        <w:rPr>
          <w:b w:val="1"/>
          <w:bCs w:val="1"/>
        </w:rPr>
        <w:t xml:space="preserve">Filiales : </w:t>
      </w:r>
      <w:r>
        <w:rPr/>
        <w:t xml:space="preserve">Routledge Imprint and Science, Technology; CRC Press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For books please visit the Routledge and CRC Press website to find information on how to submit a book proposal or help promote an existing publication.</w:t>
      </w:r>
    </w:p>
    <w:p>
      <w:pPr/>
      <w:b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https://www.routledge.com/our-customers/authors/why-publish-with-us</w:t>
        </w:r>
      </w:hyperlink>
      <w:br/>
      <w:br/>
      <w:r>
        <w:rPr/>
        <w:t xml:space="preserve">Mise à jour le </w:t>
      </w:r>
      <w:r>
        <w:rPr/>
        <w:t xml:space="preserve">25/11/2022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81" TargetMode="External"/><Relationship Id="rId8" Type="http://schemas.openxmlformats.org/officeDocument/2006/relationships/hyperlink" Target="http://www.tandf.co.uk/" TargetMode="External"/><Relationship Id="rId9" Type="http://schemas.openxmlformats.org/officeDocument/2006/relationships/hyperlink" Target="https://www.routledge.com/our-customers/authors/publishing-guidelines" TargetMode="External"/><Relationship Id="rId10" Type="http://schemas.openxmlformats.org/officeDocument/2006/relationships/hyperlink" Target="https://www.routledge.com/our-customers/authors/why-publish-with-u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2024-11-04T23:34:13+01:00</dcterms:created>
  <dcterms:modified xsi:type="dcterms:W3CDTF">2024-11-04T23:34:13+01:00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